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/>
      <w:hyperlink r:id="rId3" w:history="1">
        <w:r>
          <w:rPr>
            <w:rStyle w:val="Hyperlink"/>
          </w:rPr>
          <w:t xml:space="preserve">← Voltar ao menu do Projeto Piraju</w:t>
        </w:r>
      </w:hyperlink>
    </w:p>
    <w:p>
      <w:pPr>
        <w:pStyle w:val="Heading1"/>
      </w:pPr>
      <w:r>
        <w:t xml:space="preserve">Estratégia de Captação de Vendedores</w:t>
      </w:r>
    </w:p>
    <w:p>
      <w:pPr/>
      <w:r>
        <w:t xml:space="preserve">Oct 13, 2026</w:t>
      </w:r>
      <w:r>
        <w:t xml:space="preserve"> · </w:t>
      </w:r>
      <w:r>
        <w:t xml:space="preserve">@Thiago Cavalcante</w:t>
      </w:r>
    </w:p>
    <w:p>
      <w:pPr>
        <w:pStyle w:val="Heading2"/>
      </w:pPr>
      <w:r>
        <w:t xml:space="preserve">Objetivo e perfis</w:t>
      </w:r>
    </w:p>
    <w:p>
      <w:pPr/>
      <w:r>
        <w:t xml:space="preserve">Montar, em 90 dias, uma rede de 15 a 25 vendedores autônomos ativos, pagos por resultado, que levem os projetos da Piraju a quem já atendem: empresas com capital no exterior, empresas recusadas pelos bancos e redes de varejo. A Piraju não contrata equipe própria nesta fase; recruta quem já tem carteira e lhe dá produto, material e remuneração por operação.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Perfil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Quem é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O que já tem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Onde está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Corretor de câmbio</w:t>
            </w:r>
          </w:p>
        </w:tc>
        <w:tc>
          <w:tcPr>
            <w:tcW w:w="2340" w:type="dxa"/>
          </w:tcPr>
          <w:p>
            <w:pPr/>
            <w:r>
              <w:t xml:space="preserve">Corretores, operadores e correspondentes cambiais (4.098 correspondentes únicos no país, </w:t>
            </w:r>
            <w:hyperlink r:id="rId4" w:history="1">
              <w:r>
                <w:rPr>
                  <w:rStyle w:val="Hyperlink"/>
                </w:rPr>
                <w:t xml:space="preserve">BPMoney, 28/05/2024</w:t>
              </w:r>
            </w:hyperlink>
            <w:r>
              <w:t xml:space="preserve">)</w:t>
            </w:r>
          </w:p>
        </w:tc>
        <w:tc>
          <w:tcPr>
            <w:tcW w:w="2340" w:type="dxa"/>
          </w:tcPr>
          <w:p>
            <w:pPr/>
            <w:r>
              <w:t xml:space="preserve">Clientes com sócios, matriz ou investidores fora do país</w:t>
            </w:r>
          </w:p>
        </w:tc>
        <w:tc>
          <w:tcPr>
            <w:tcW w:w="2340" w:type="dxa"/>
          </w:tcPr>
          <w:p>
            <w:pPr/>
            <w:r>
              <w:t xml:space="preserve">LinkedIn (cargo e competência), listas públicas do Banco Central, grupos de comércio exterior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Consultor financeiro com carteira</w:t>
            </w:r>
          </w:p>
        </w:tc>
        <w:tc>
          <w:tcPr>
            <w:tcW w:w="2340" w:type="dxa"/>
          </w:tcPr>
          <w:p>
            <w:pPr/>
            <w:r>
              <w:t xml:space="preserve">Contadores, consultores de crédito, ex-gerentes de banco, assessores que atendem PMEs</w:t>
            </w:r>
          </w:p>
        </w:tc>
        <w:tc>
          <w:tcPr>
            <w:tcW w:w="2340" w:type="dxa"/>
          </w:tcPr>
          <w:p>
            <w:pPr/>
            <w:r>
              <w:t xml:space="preserve">Empresas com conta encerrada, restrição de compliance ou atendimento ruim no banco</w:t>
            </w:r>
          </w:p>
        </w:tc>
        <w:tc>
          <w:tcPr>
            <w:tcW w:w="2340" w:type="dxa"/>
          </w:tcPr>
          <w:p>
            <w:pPr/>
            <w:r>
              <w:t xml:space="preserve">LinkedIn, grupos de WhatsApp de contadores e crédito, Instagram de educação financeira para PME, escritórios contábeis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Representante comercial</w:t>
            </w:r>
          </w:p>
        </w:tc>
        <w:tc>
          <w:tcPr>
            <w:tcW w:w="2340" w:type="dxa"/>
          </w:tcPr>
          <w:p>
            <w:pPr/>
            <w:r>
              <w:t xml:space="preserve">Representantes autônomos que já visitam varejo, food service, postos e redes</w:t>
            </w:r>
          </w:p>
        </w:tc>
        <w:tc>
          <w:tcPr>
            <w:tcW w:w="2340" w:type="dxa"/>
          </w:tcPr>
          <w:p>
            <w:pPr/>
            <w:r>
              <w:t xml:space="preserve">Relação com donos de loja, pizzarias, padarias, postos e gerentes de rede</w:t>
            </w:r>
          </w:p>
        </w:tc>
        <w:tc>
          <w:tcPr>
            <w:tcW w:w="2340" w:type="dxa"/>
          </w:tcPr>
          <w:p>
            <w:pPr/>
            <w:r>
              <w:t xml:space="preserve">Portais de representação comercial, associações de representantes (CORE), feiras de varejo e food service, Instagram local</w:t>
            </w:r>
          </w:p>
        </w:tc>
      </w:tr>
    </w:tbl>
    <w:p>
      <w:pPr/>
      <w:r>
        <w:t xml:space="preserve">Os três perfis têm o mesmo motivo para dizer sim: receita nova sobre a carteira que já têm, sem investimento e sem perder o cliente. E o mesmo motivo para dizer não: produto sem nome, sem instituição, sem remuneração clara. A campanha anterior no LinkedIn caiu nesse segundo ponto.</w:t>
      </w:r>
    </w:p>
    <w:p>
      <w:pPr>
        <w:pStyle w:val="Heading2"/>
      </w:pPr>
      <w:r>
        <w:t xml:space="preserve">O que cada perfil vende e como é pago</w:t>
      </w:r>
    </w:p>
    <w:p>
      <w:pPr/>
      <w:r>
        <w:t xml:space="preserve">Cada vendedor recebe um produto só no início. Vender o portfólio inteiro dilui a conversa; vender o produto que encaixa na carteira dele converte.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shd w:val="clear" w:color="auto" w:fill="F2F2F2"/>
          </w:tcPr>
          <w:p>
            <w:pPr/>
            <w:r>
              <w:t xml:space="preserve">Perfil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Produto de entrada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Para quem ele vende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Remuneração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O que recebe antes de começar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Corretor de câmbio</w:t>
            </w:r>
          </w:p>
        </w:tc>
        <w:tc>
          <w:tcPr>
            <w:tcW w:w="1872" w:type="dxa"/>
          </w:tcPr>
          <w:p>
            <w:pPr/>
            <w:r>
              <w:t xml:space="preserve">Entrada de capital estrangeiro por IED com registro no RDE-IED</w:t>
            </w:r>
          </w:p>
        </w:tc>
        <w:tc>
          <w:tcPr>
            <w:tcW w:w="1872" w:type="dxa"/>
          </w:tcPr>
          <w:p>
            <w:pPr/>
            <w:r>
              <w:t xml:space="preserve">Empresas com sócio, matriz ou investidor no exterior</w:t>
            </w:r>
          </w:p>
        </w:tc>
        <w:tc>
          <w:tcPr>
            <w:tcW w:w="1872" w:type="dxa"/>
          </w:tcPr>
          <w:p>
            <w:pPr/>
            <w:r>
              <w:t xml:space="preserve">Por operação, com extrato; percentual e base a fixar pela Piraju</w:t>
            </w:r>
          </w:p>
        </w:tc>
        <w:tc>
          <w:tcPr>
            <w:tcW w:w="1872" w:type="dxa"/>
          </w:tcPr>
          <w:p>
            <w:pPr/>
            <w:r>
              <w:t xml:space="preserve">Resumo da operação em uma página, minuta do contrato de parceria, 20 minutos com um caso real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Consultor financeiro</w:t>
            </w:r>
          </w:p>
        </w:tc>
        <w:tc>
          <w:tcPr>
            <w:tcW w:w="1872" w:type="dxa"/>
          </w:tcPr>
          <w:p>
            <w:pPr/>
            <w:r>
              <w:t xml:space="preserve">BPO Digital (conta corrente e Conta Escrow) e BPO Pix (meios de pagamento)</w:t>
            </w:r>
          </w:p>
        </w:tc>
        <w:tc>
          <w:tcPr>
            <w:tcW w:w="1872" w:type="dxa"/>
          </w:tcPr>
          <w:p>
            <w:pPr/>
            <w:r>
              <w:t xml:space="preserve">Empresas recusadas pelos bancos, e-commerce, delivery, alto volume</w:t>
            </w:r>
          </w:p>
        </w:tc>
        <w:tc>
          <w:tcPr>
            <w:tcW w:w="1872" w:type="dxa"/>
          </w:tcPr>
          <w:p>
            <w:pPr/>
            <w:r>
              <w:t xml:space="preserve">5% sobre o faturamento mensal de cada cliente captado, no modelo publicado pela Piraju para televendas (site, página BPO Digital); ajuda de custo e contrato de serviços</w:t>
            </w:r>
          </w:p>
        </w:tc>
        <w:tc>
          <w:tcPr>
            <w:tcW w:w="1872" w:type="dxa"/>
          </w:tcPr>
          <w:p>
            <w:pPr/>
            <w:r>
              <w:t xml:space="preserve">Tabela de taxas, critérios de elegibilidade, roteiro de qualificação do cliente, canal direto com a Piraju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Representante comercial</w:t>
            </w:r>
          </w:p>
        </w:tc>
        <w:tc>
          <w:tcPr>
            <w:tcW w:w="1872" w:type="dxa"/>
          </w:tcPr>
          <w:p>
            <w:pPr/>
            <w:r>
              <w:t xml:space="preserve">Dólar Brasil, Pixolé App e Piraju App no ponto de venda; Disk Mussarela no food service</w:t>
            </w:r>
          </w:p>
        </w:tc>
        <w:tc>
          <w:tcPr>
            <w:tcW w:w="1872" w:type="dxa"/>
          </w:tcPr>
          <w:p>
            <w:pPr/>
            <w:r>
              <w:t xml:space="preserve">Lojas, padarias, pizzarias, postos, redes regionais</w:t>
            </w:r>
          </w:p>
        </w:tc>
        <w:tc>
          <w:tcPr>
            <w:tcW w:w="1872" w:type="dxa"/>
          </w:tcPr>
          <w:p>
            <w:pPr/>
            <w:r>
              <w:t xml:space="preserve">Comissão por ponto de venda ativado e por volume, a fixar por projeto</w:t>
            </w:r>
          </w:p>
        </w:tc>
        <w:tc>
          <w:tcPr>
            <w:tcW w:w="1872" w:type="dxa"/>
          </w:tcPr>
          <w:p>
            <w:pPr/>
            <w:r>
              <w:t xml:space="preserve">Kit do ponto de venda (adesivos, folder, vídeo de campanha), tabela de preços e regras de cada projeto</w:t>
            </w:r>
          </w:p>
        </w:tc>
      </w:tr>
    </w:tbl>
    <w:p>
      <w:pPr/>
      <w:r>
        <w:t xml:space="preserve">Regra comum aos três: o vendedor indica e mantém a relação; a Piraju enquadra, documenta, opera e presta contas. Nenhum vendedor recebe ou movimenta dinheiro do cliente. Contrato de parceria comercial sem exclusividade e sem meta mínima, com regra para clientes que já estavam em contato com a Piraju.</w:t>
      </w:r>
    </w:p>
    <w:p>
      <w:pPr/>
      <w:r>
        <w:t xml:space="preserve">O que não entra no discurso de nenhum perfil: “proteção contra bloqueio judicial”, “abertura garantida”, taxa de câmbio prometida ou autorização que ainda não foi obtida.</w:t>
      </w:r>
    </w:p>
    <w:p>
      <w:pPr>
        <w:pStyle w:val="Heading2"/>
      </w:pPr>
      <w:r>
        <w:t xml:space="preserve">Canais e o papel de cada um</w:t>
      </w:r>
    </w:p>
    <w:p>
      <w:pPr/>
      <w:r>
        <w:t xml:space="preserve">O LinkedIn encontra o corretor e o consultor; o representante comercial quase não está lá, e por isso a estratégia precisa de mais canais. Todos levam ao mesmo lugar: uma conversa de 20 minutos e um resumo de uma página.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shd w:val="clear" w:color="auto" w:fill="F2F2F2"/>
          </w:tcPr>
          <w:p>
            <w:pPr/>
            <w:r>
              <w:t xml:space="preserve">Canal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Para qual perfil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Como usar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Custo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Peça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LinkedIn, mensagem direta</w:t>
            </w:r>
          </w:p>
        </w:tc>
        <w:tc>
          <w:tcPr>
            <w:tcW w:w="1872" w:type="dxa"/>
          </w:tcPr>
          <w:p>
            <w:pPr/>
            <w:r>
              <w:t xml:space="preserve">Corretor, consultor</w:t>
            </w:r>
          </w:p>
        </w:tc>
        <w:tc>
          <w:tcPr>
            <w:tcW w:w="1872" w:type="dxa"/>
          </w:tcPr>
          <w:p>
            <w:pPr/>
            <w:r>
              <w:t xml:space="preserve">20 mensagens por dia a partir dos públicos A, B e C da segmentação; uma pessoa por empresa; retorno em sete dias</w:t>
            </w:r>
          </w:p>
        </w:tc>
        <w:tc>
          <w:tcPr>
            <w:tcW w:w="1872" w:type="dxa"/>
          </w:tcPr>
          <w:p>
            <w:pPr/>
            <w:r>
              <w:t xml:space="preserve">Zero (Sales Navigator opcional)</w:t>
            </w:r>
          </w:p>
        </w:tc>
        <w:tc>
          <w:tcPr>
            <w:tcW w:w="1872" w:type="dxa"/>
          </w:tcPr>
          <w:p>
            <w:pPr/>
            <w:hyperlink r:id="rId5" w:history="1">
              <w:r>
                <w:rPr>
                  <w:rStyle w:val="Hyperlink"/>
                </w:rPr>
                <w:t xml:space="preserve">Mensagem e posts prontos</w:t>
              </w:r>
            </w:hyperlink>
          </w:p>
        </w:tc>
      </w:tr>
      <w:tr>
        <w:tc>
          <w:tcPr>
            <w:tcW w:w="1872" w:type="dxa"/>
          </w:tcPr>
          <w:p>
            <w:pPr/>
            <w:r>
              <w:t xml:space="preserve">LinkedIn, página e perfil do Dalton</w:t>
            </w:r>
          </w:p>
        </w:tc>
        <w:tc>
          <w:tcPr>
            <w:tcW w:w="1872" w:type="dxa"/>
          </w:tcPr>
          <w:p>
            <w:pPr/>
            <w:r>
              <w:t xml:space="preserve">Corretor, consultor</w:t>
            </w:r>
          </w:p>
        </w:tc>
        <w:tc>
          <w:tcPr>
            <w:tcW w:w="1872" w:type="dxa"/>
          </w:tcPr>
          <w:p>
            <w:pPr/>
            <w:r>
              <w:t xml:space="preserve">Um post por semana na página, repostado no perfil; responder comentários em 24 h</w:t>
            </w:r>
          </w:p>
        </w:tc>
        <w:tc>
          <w:tcPr>
            <w:tcW w:w="1872" w:type="dxa"/>
          </w:tcPr>
          <w:p>
            <w:pPr/>
            <w:r>
              <w:t xml:space="preserve">Zero; impulsionar o Post 2 com filtros do público A, expansão desligada</w:t>
            </w:r>
          </w:p>
        </w:tc>
        <w:tc>
          <w:tcPr>
            <w:tcW w:w="1872" w:type="dxa"/>
          </w:tcPr>
          <w:p>
            <w:pPr/>
            <w:r>
              <w:t xml:space="preserve">Três posts prontos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WhatsApp e grupos</w:t>
            </w:r>
          </w:p>
        </w:tc>
        <w:tc>
          <w:tcPr>
            <w:tcW w:w="1872" w:type="dxa"/>
          </w:tcPr>
          <w:p>
            <w:pPr/>
            <w:r>
              <w:t xml:space="preserve">Consultor, representante</w:t>
            </w:r>
          </w:p>
        </w:tc>
        <w:tc>
          <w:tcPr>
            <w:tcW w:w="1872" w:type="dxa"/>
          </w:tcPr>
          <w:p>
            <w:pPr/>
            <w:r>
              <w:t xml:space="preserve">Entrar em grupos de contadores, crédito PME e representantes; publicar só quando o grupo permite; abordar em privado quem responde</w:t>
            </w:r>
          </w:p>
        </w:tc>
        <w:tc>
          <w:tcPr>
            <w:tcW w:w="1872" w:type="dxa"/>
          </w:tcPr>
          <w:p>
            <w:pPr/>
            <w:r>
              <w:t xml:space="preserve">Zero</w:t>
            </w:r>
          </w:p>
        </w:tc>
        <w:tc>
          <w:tcPr>
            <w:tcW w:w="1872" w:type="dxa"/>
          </w:tcPr>
          <w:p>
            <w:pPr/>
            <w:r>
              <w:t xml:space="preserve">Mensagem curta com link para o site e o resumo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Instagram</w:t>
            </w:r>
          </w:p>
        </w:tc>
        <w:tc>
          <w:tcPr>
            <w:tcW w:w="1872" w:type="dxa"/>
          </w:tcPr>
          <w:p>
            <w:pPr/>
            <w:r>
              <w:t xml:space="preserve">Consultor, representante</w:t>
            </w:r>
          </w:p>
        </w:tc>
        <w:tc>
          <w:tcPr>
            <w:tcW w:w="1872" w:type="dxa"/>
          </w:tcPr>
          <w:p>
            <w:pPr/>
            <w:r>
              <w:t xml:space="preserve">Perfil da Piraju com três pilares: produto (Pixolé, Dólar Brasil, BPO), bastidor do ponto de venda, chamada para parceiros; 3 posts e 3 stories por semana; anúncio de 7 dias segmentado por interesse em representação comercial e cidade</w:t>
            </w:r>
          </w:p>
        </w:tc>
        <w:tc>
          <w:tcPr>
            <w:tcW w:w="1872" w:type="dxa"/>
          </w:tcPr>
          <w:p>
            <w:pPr/>
            <w:r>
              <w:t xml:space="preserve">Baixo (R$ 20 a R$ 50 por dia no teste)</w:t>
            </w:r>
          </w:p>
        </w:tc>
        <w:tc>
          <w:tcPr>
            <w:tcW w:w="1872" w:type="dxa"/>
          </w:tcPr>
          <w:p>
            <w:pPr/>
            <w:r>
              <w:t xml:space="preserve">Cards no design system, vídeo de campanha do Pixolé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YouTube</w:t>
            </w:r>
          </w:p>
        </w:tc>
        <w:tc>
          <w:tcPr>
            <w:tcW w:w="1872" w:type="dxa"/>
          </w:tcPr>
          <w:p>
            <w:pPr/>
            <w:r>
              <w:t xml:space="preserve">Os três</w:t>
            </w:r>
          </w:p>
        </w:tc>
        <w:tc>
          <w:tcPr>
            <w:tcW w:w="1872" w:type="dxa"/>
          </w:tcPr>
          <w:p>
            <w:pPr/>
            <w:r>
              <w:t xml:space="preserve">Um vídeo de 6 a 8 minutos por projeto, gravado com o Dalton: como funciona, quem compra, como o parceiro ganha; usado como link nas mensagens</w:t>
            </w:r>
          </w:p>
        </w:tc>
        <w:tc>
          <w:tcPr>
            <w:tcW w:w="1872" w:type="dxa"/>
          </w:tcPr>
          <w:p>
            <w:pPr/>
            <w:r>
              <w:t xml:space="preserve">Zero além da gravação</w:t>
            </w:r>
          </w:p>
        </w:tc>
        <w:tc>
          <w:tcPr>
            <w:tcW w:w="1872" w:type="dxa"/>
          </w:tcPr>
          <w:p>
            <w:pPr/>
            <w:r>
              <w:t xml:space="preserve">Roteiro de cada vídeo a partir das páginas de projeto do site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Portais de representação comercial</w:t>
            </w:r>
          </w:p>
        </w:tc>
        <w:tc>
          <w:tcPr>
            <w:tcW w:w="1872" w:type="dxa"/>
          </w:tcPr>
          <w:p>
            <w:pPr/>
            <w:r>
              <w:t xml:space="preserve">Representante</w:t>
            </w:r>
          </w:p>
        </w:tc>
        <w:tc>
          <w:tcPr>
            <w:tcW w:w="1872" w:type="dxa"/>
          </w:tcPr>
          <w:p>
            <w:pPr/>
            <w:r>
              <w:t xml:space="preserve">Anúncio de oportunidade por região e segmento (varejo, food service, postos), com produto, comissão e material fornecido</w:t>
            </w:r>
          </w:p>
        </w:tc>
        <w:tc>
          <w:tcPr>
            <w:tcW w:w="1872" w:type="dxa"/>
          </w:tcPr>
          <w:p>
            <w:pPr/>
            <w:r>
              <w:t xml:space="preserve">Baixo (planos mensais)</w:t>
            </w:r>
          </w:p>
        </w:tc>
        <w:tc>
          <w:tcPr>
            <w:tcW w:w="1872" w:type="dxa"/>
          </w:tcPr>
          <w:p>
            <w:pPr/>
            <w:r>
              <w:t xml:space="preserve">Texto do anúncio por projeto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Associações e conselhos de representantes (CORE)</w:t>
            </w:r>
          </w:p>
        </w:tc>
        <w:tc>
          <w:tcPr>
            <w:tcW w:w="1872" w:type="dxa"/>
          </w:tcPr>
          <w:p>
            <w:pPr/>
            <w:r>
              <w:t xml:space="preserve">Representante</w:t>
            </w:r>
          </w:p>
        </w:tc>
        <w:tc>
          <w:tcPr>
            <w:tcW w:w="1872" w:type="dxa"/>
          </w:tcPr>
          <w:p>
            <w:pPr/>
            <w:r>
              <w:t xml:space="preserve">Apresentação de 20 minutos em reuniões regionais; lista de interessados</w:t>
            </w:r>
          </w:p>
        </w:tc>
        <w:tc>
          <w:tcPr>
            <w:tcW w:w="1872" w:type="dxa"/>
          </w:tcPr>
          <w:p>
            <w:pPr/>
            <w:r>
              <w:t xml:space="preserve">Zero</w:t>
            </w:r>
          </w:p>
        </w:tc>
        <w:tc>
          <w:tcPr>
            <w:tcW w:w="1872" w:type="dxa"/>
          </w:tcPr>
          <w:p>
            <w:pPr/>
            <w:r>
              <w:t xml:space="preserve">Sumário Executivo reduzido a 5 slides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Escritórios contábeis</w:t>
            </w:r>
          </w:p>
        </w:tc>
        <w:tc>
          <w:tcPr>
            <w:tcW w:w="1872" w:type="dxa"/>
          </w:tcPr>
          <w:p>
            <w:pPr/>
            <w:r>
              <w:t xml:space="preserve">Consultor</w:t>
            </w:r>
          </w:p>
        </w:tc>
        <w:tc>
          <w:tcPr>
            <w:tcW w:w="1872" w:type="dxa"/>
          </w:tcPr>
          <w:p>
            <w:pPr/>
            <w:r>
              <w:t xml:space="preserve">Parceria com 10 escritórios em São Paulo que atendem PMEs negativadas; o contador indica, a Piraju abre a conta</w:t>
            </w:r>
          </w:p>
        </w:tc>
        <w:tc>
          <w:tcPr>
            <w:tcW w:w="1872" w:type="dxa"/>
          </w:tcPr>
          <w:p>
            <w:pPr/>
            <w:r>
              <w:t xml:space="preserve">Zero</w:t>
            </w:r>
          </w:p>
        </w:tc>
        <w:tc>
          <w:tcPr>
            <w:tcW w:w="1872" w:type="dxa"/>
          </w:tcPr>
          <w:p>
            <w:pPr/>
            <w:r>
              <w:t xml:space="preserve">Resumo do BPO Digital em uma página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Feiras e eventos</w:t>
            </w:r>
          </w:p>
        </w:tc>
        <w:tc>
          <w:tcPr>
            <w:tcW w:w="1872" w:type="dxa"/>
          </w:tcPr>
          <w:p>
            <w:pPr/>
            <w:r>
              <w:t xml:space="preserve">Representante, consultor</w:t>
            </w:r>
          </w:p>
        </w:tc>
        <w:tc>
          <w:tcPr>
            <w:tcW w:w="1872" w:type="dxa"/>
          </w:tcPr>
          <w:p>
            <w:pPr/>
            <w:r>
              <w:t xml:space="preserve">Feiras de varejo, food service e franquias em São Paulo; sem estande, com agenda de reuniões marcadas antes</w:t>
            </w:r>
          </w:p>
        </w:tc>
        <w:tc>
          <w:tcPr>
            <w:tcW w:w="1872" w:type="dxa"/>
          </w:tcPr>
          <w:p>
            <w:pPr/>
            <w:r>
              <w:t xml:space="preserve">Ingresso</w:t>
            </w:r>
          </w:p>
        </w:tc>
        <w:tc>
          <w:tcPr>
            <w:tcW w:w="1872" w:type="dxa"/>
          </w:tcPr>
          <w:p>
            <w:pPr/>
            <w:r>
              <w:t xml:space="preserve">Cartão com QR Code para o site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Indicação</w:t>
            </w:r>
          </w:p>
        </w:tc>
        <w:tc>
          <w:tcPr>
            <w:tcW w:w="1872" w:type="dxa"/>
          </w:tcPr>
          <w:p>
            <w:pPr/>
            <w:r>
              <w:t xml:space="preserve">Os três</w:t>
            </w:r>
          </w:p>
        </w:tc>
        <w:tc>
          <w:tcPr>
            <w:tcW w:w="1872" w:type="dxa"/>
          </w:tcPr>
          <w:p>
            <w:pPr/>
            <w:r>
              <w:t xml:space="preserve">Cada vendedor ativo indica dois; bônus por indicado que fecha o primeiro negócio</w:t>
            </w:r>
          </w:p>
        </w:tc>
        <w:tc>
          <w:tcPr>
            <w:tcW w:w="1872" w:type="dxa"/>
          </w:tcPr>
          <w:p>
            <w:pPr/>
            <w:r>
              <w:t xml:space="preserve">Variável</w:t>
            </w:r>
          </w:p>
        </w:tc>
        <w:tc>
          <w:tcPr>
            <w:tcW w:w="1872" w:type="dxa"/>
          </w:tcPr>
          <w:p>
            <w:pPr/>
            <w:r>
              <w:t xml:space="preserve">Regra escrita no contrato</w:t>
            </w:r>
          </w:p>
        </w:tc>
      </w:tr>
    </w:tbl>
    <w:p>
      <w:pPr/>
      <w:r>
        <w:t xml:space="preserve">O site institucional é a base de todos os canais: cada mensagem, post ou anúncio leva para a página do projeto ou para Parceiros, onde o interessado lê quem faz o quê e entra em contato. Sem o site no ar, o vendedor não tem onde conferir quem é a Piraju.</w:t>
      </w:r>
    </w:p>
    <w:p>
      <w:pPr>
        <w:pStyle w:val="Heading2"/>
      </w:pPr>
      <w:r>
        <w:t xml:space="preserve">Funil: do primeiro contato ao primeiro negócio</w:t>
      </w:r>
    </w:p>
    <w:p>
      <w:pPr/>
      <w:r>
        <w:t xml:space="preserve">O mesmo caminho para os três perfis, em seis passos. As metas de conversão são pontos de partida para calibrar nas duas primeiras semanas, não dados de mercado.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Contato.</w:t>
      </w:r>
      <w:r>
        <w:t xml:space="preserve"> Mensagem direta, comentário em post, resposta a anúncio ou indicação. Meta: 1 resposta a cada 10 contatos.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Resumo.</w:t>
      </w:r>
      <w:r>
        <w:t xml:space="preserve"> Quem responde recebe no mesmo dia o resumo de uma página do produto de entrada e o link da página do projeto no site. Meta: 1 em 2 pede a conversa.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Conversa de 20 minutos.</w:t>
      </w:r>
      <w:r>
        <w:t xml:space="preserve"> Dalton ou um responsável comercial percorre um caso real, sem identificar o cliente, e responde às três perguntas que todo vendedor faz: quem opera, como sou pago, o cliente continua meu. Meta: 1 em 2 segue para o contrato.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Contrato de parceria.</w:t>
      </w:r>
      <w:r>
        <w:t xml:space="preserve"> Minuta enviada no dia seguinte; assinatura digital; sem exclusividade e sem meta. Meta: 2 em 3 assinam em até 10 dias.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Onboarding de uma hora.</w:t>
      </w:r>
      <w:r>
        <w:t xml:space="preserve"> Produto, roteiro de qualificação do cliente, material, canal direto (grupo de WhatsApp dos parceiros) e regra de prestação de contas.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Primeira indicação em 30 dias.</w:t>
      </w:r>
      <w:r>
        <w:t xml:space="preserve"> A Piraju responde ao enquadramento em prazo fixo e devolve a comprovação de cada operação com extrato. Quem não indica em 60 dias recebe uma única conversa de reativação.</w:t>
      </w:r>
    </w:p>
    <w:p>
      <w:pPr/>
      <w:r>
        <w:t xml:space="preserve">Para chegar a 15 vendedores ativos com essas metas são necessários cerca de 600 contatos em 90 dias, ou 10 por dia útil, o que cabe em uma pessoa dedicada meio período.</w:t>
      </w:r>
    </w:p>
    <w:p>
      <w:pPr>
        <w:pStyle w:val="Heading2"/>
      </w:pPr>
      <w:r>
        <w:t xml:space="preserve">Plano de 90 dias e o que medir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Período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O que acontece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Resultado esperado ao fim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Semanas 1 e 2 · Preparar</w:t>
            </w:r>
          </w:p>
        </w:tc>
        <w:tc>
          <w:tcPr>
            <w:tcW w:w="3120" w:type="dxa"/>
          </w:tcPr>
          <w:p>
            <w:pPr/>
            <w:r>
              <w:t xml:space="preserve">Fixar remuneração por perfil; publicar o site institucional; preencher o resumo de câmbio; montar o resumo do BPO Digital e o kit do ponto de venda; criar o perfil no Instagram; gravar o primeiro vídeo (câmbio)</w:t>
            </w:r>
          </w:p>
        </w:tc>
        <w:tc>
          <w:tcPr>
            <w:tcW w:w="3120" w:type="dxa"/>
          </w:tcPr>
          <w:p>
            <w:pPr/>
            <w:r>
              <w:t xml:space="preserve">Materiais prontos; nenhum contato ainda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Semanas 3 a 6 · Corretores e consultores</w:t>
            </w:r>
          </w:p>
        </w:tc>
        <w:tc>
          <w:tcPr>
            <w:tcW w:w="3120" w:type="dxa"/>
          </w:tcPr>
          <w:p>
            <w:pPr/>
            <w:r>
              <w:t xml:space="preserve">Mensagens diretas no LinkedIn (20 por dia); Post 1, 2 e 3; grupos de WhatsApp de contadores; parceria com os primeiros escritórios contábeis; segundo vídeo (BPO)</w:t>
            </w:r>
          </w:p>
        </w:tc>
        <w:tc>
          <w:tcPr>
            <w:tcW w:w="3120" w:type="dxa"/>
          </w:tcPr>
          <w:p>
            <w:pPr/>
            <w:r>
              <w:t xml:space="preserve">200 contatos, 20 conversas, 8 contratos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Semanas 5 a 8 · Representantes</w:t>
            </w:r>
          </w:p>
        </w:tc>
        <w:tc>
          <w:tcPr>
            <w:tcW w:w="3120" w:type="dxa"/>
          </w:tcPr>
          <w:p>
            <w:pPr/>
            <w:r>
              <w:t xml:space="preserve">Anúncio nos portais de representação por região; apresentação em uma associação; Instagram com anúncio de teste; terceiro vídeo (ponto de venda)</w:t>
            </w:r>
          </w:p>
        </w:tc>
        <w:tc>
          <w:tcPr>
            <w:tcW w:w="3120" w:type="dxa"/>
          </w:tcPr>
          <w:p>
            <w:pPr/>
            <w:r>
              <w:t xml:space="preserve">150 contatos, 15 conversas, 6 contratos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Semanas 7 a 12 · Ativar e indicar</w:t>
            </w:r>
          </w:p>
        </w:tc>
        <w:tc>
          <w:tcPr>
            <w:tcW w:w="3120" w:type="dxa"/>
          </w:tcPr>
          <w:p>
            <w:pPr/>
            <w:r>
              <w:t xml:space="preserve">Onboarding dos assinados; primeira indicação de cada um; programa de indicação entre parceiros; leitura do relatório demográfico do LinkedIn e ajuste dos filtros</w:t>
            </w:r>
          </w:p>
        </w:tc>
        <w:tc>
          <w:tcPr>
            <w:tcW w:w="3120" w:type="dxa"/>
          </w:tcPr>
          <w:p>
            <w:pPr/>
            <w:r>
              <w:t xml:space="preserve">15 a 25 vendedores ativos; primeiras operações indicadas</w:t>
            </w:r>
          </w:p>
        </w:tc>
      </w:tr>
    </w:tbl>
    <w:p>
      <w:pPr/>
      <w:r>
        <w:t xml:space="preserve">O que medir, por semana, numa planilha simples: contatos feitos, respostas, resumos enviados, conversas realizadas, contratos assinados, vendedores com pelo menos uma indicação, operações fechadas. Cliques, impressões e seguidores não entram na medida; na campanha anterior eles não viraram conversa.</w:t>
      </w:r>
    </w:p>
    <w:p>
      <w:pPr/>
      <w:r>
        <w:t xml:space="preserve">Decisão de corte na semana 6: o canal que não gerou nenhuma conversa em quatro semanas é pausado e o tempo vai para o que respondeu.</w:t>
      </w:r>
    </w:p>
    <w:p>
      <w:pPr>
        <w:pStyle w:val="Heading2"/>
      </w:pPr>
      <w:r>
        <w:t xml:space="preserve">O que a Piraju define antes do primeiro contato</w:t>
      </w:r>
    </w:p>
    <w:p>
      <w:pPr>
        <w:pStyle w:val="ListParagraph"/>
        <w:numPr>
          <w:ilvl w:val="0"/>
          <w:numId w:val="3"/>
        </w:numPr>
      </w:pPr>
      <w:r>
        <w:t xml:space="preserve">☐ Remuneração do corretor de câmbio: percentual, base de cálculo, prazo e dias para pagamento após a liquidação</w:t>
      </w:r>
    </w:p>
    <w:p>
      <w:pPr>
        <w:pStyle w:val="ListParagraph"/>
        <w:numPr>
          <w:ilvl w:val="0"/>
          <w:numId w:val="3"/>
        </w:numPr>
      </w:pPr>
      <w:r>
        <w:t xml:space="preserve">☐ Comissão do representante por projeto (por ponto de venda ativado e por volume)</w:t>
      </w:r>
    </w:p>
    <w:p>
      <w:pPr>
        <w:pStyle w:val="ListParagraph"/>
        <w:numPr>
          <w:ilvl w:val="0"/>
          <w:numId w:val="3"/>
        </w:numPr>
      </w:pPr>
      <w:r>
        <w:t xml:space="preserve">☐ Confirmação de que o modelo de 5% sobre o faturamento mensal, publicado para o BPO Digital, vale para os consultores desta rede</w:t>
      </w:r>
    </w:p>
    <w:p>
      <w:pPr>
        <w:pStyle w:val="ListParagraph"/>
        <w:numPr>
          <w:ilvl w:val="0"/>
          <w:numId w:val="3"/>
        </w:numPr>
      </w:pPr>
      <w:r>
        <w:t xml:space="preserve">☐ Prazo de resposta ao enquadramento de cada indicação</w:t>
      </w:r>
    </w:p>
    <w:p>
      <w:pPr>
        <w:pStyle w:val="ListParagraph"/>
        <w:numPr>
          <w:ilvl w:val="0"/>
          <w:numId w:val="3"/>
        </w:numPr>
      </w:pPr>
      <w:r>
        <w:t xml:space="preserve">☐ Quem atende as conversas de 20 minutos além do Dalton</w:t>
      </w:r>
    </w:p>
    <w:p>
      <w:pPr>
        <w:pStyle w:val="ListParagraph"/>
        <w:numPr>
          <w:ilvl w:val="0"/>
          <w:numId w:val="3"/>
        </w:numPr>
      </w:pPr>
      <w:r>
        <w:t xml:space="preserve">☐ Quais projetos podem ser vendidos hoje e quais dependem de autorização (SPA/MF para promoções; enquadramento do BPO Pix em apostas)</w:t>
      </w:r>
    </w:p>
    <w:p>
      <w:pPr>
        <w:pStyle w:val="ListParagraph"/>
        <w:numPr>
          <w:ilvl w:val="0"/>
          <w:numId w:val="3"/>
        </w:numPr>
      </w:pPr>
      <w:r>
        <w:t xml:space="preserve">☐ E-mail de contato que aparece no material</w:t>
      </w:r>
    </w:p>
    <w:p>
      <w:pPr/>
      <w:r>
        <w:t xml:space="preserve">Materiais já prontos neste projeto: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Material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Uso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Onde está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Mensagem direta e três posts</w:t>
            </w:r>
          </w:p>
        </w:tc>
        <w:tc>
          <w:tcPr>
            <w:tcW w:w="3120" w:type="dxa"/>
          </w:tcPr>
          <w:p>
            <w:pPr/>
            <w:r>
              <w:t xml:space="preserve">LinkedIn, corretores e consultores</w:t>
            </w:r>
          </w:p>
        </w:tc>
        <w:tc>
          <w:tcPr>
            <w:tcW w:w="3120" w:type="dxa"/>
          </w:tcPr>
          <w:p>
            <w:pPr/>
            <w:hyperlink r:id="rId5" w:history="1">
              <w:r>
                <w:rPr>
                  <w:rStyle w:val="Hyperlink"/>
                </w:rPr>
                <w:t xml:space="preserve">Captação de Corretores · LinkedIn</w:t>
              </w:r>
            </w:hyperlink>
          </w:p>
        </w:tc>
      </w:tr>
      <w:tr>
        <w:tc>
          <w:tcPr>
            <w:tcW w:w="3120" w:type="dxa"/>
          </w:tcPr>
          <w:p>
            <w:pPr/>
            <w:r>
              <w:t xml:space="preserve">Segmentação e exclusões</w:t>
            </w:r>
          </w:p>
        </w:tc>
        <w:tc>
          <w:tcPr>
            <w:tcW w:w="3120" w:type="dxa"/>
          </w:tcPr>
          <w:p>
            <w:pPr/>
            <w:r>
              <w:t xml:space="preserve">Campaign Manager e busca de perfis</w:t>
            </w:r>
          </w:p>
        </w:tc>
        <w:tc>
          <w:tcPr>
            <w:tcW w:w="3120" w:type="dxa"/>
          </w:tcPr>
          <w:p>
            <w:pPr/>
            <w:hyperlink r:id="rId4" w:history="1">
              <w:r>
                <w:rPr>
                  <w:rStyle w:val="Hyperlink"/>
                </w:rPr>
                <w:t xml:space="preserve">Segmentação LinkedIn</w:t>
              </w:r>
            </w:hyperlink>
          </w:p>
        </w:tc>
      </w:tr>
      <w:tr>
        <w:tc>
          <w:tcPr>
            <w:tcW w:w="3120" w:type="dxa"/>
          </w:tcPr>
          <w:p>
            <w:pPr/>
            <w:r>
              <w:t xml:space="preserve">Resumo da operação de câmbio</w:t>
            </w:r>
          </w:p>
        </w:tc>
        <w:tc>
          <w:tcPr>
            <w:tcW w:w="3120" w:type="dxa"/>
          </w:tcPr>
          <w:p>
            <w:pPr/>
            <w:r>
              <w:t xml:space="preserve">Enviado a quem responde</w:t>
            </w:r>
          </w:p>
        </w:tc>
        <w:tc>
          <w:tcPr>
            <w:tcW w:w="3120" w:type="dxa"/>
          </w:tcPr>
          <w:p>
            <w:pPr/>
            <w:hyperlink r:id="rId6" w:history="1">
              <w:r>
                <w:rPr>
                  <w:rStyle w:val="Hyperlink"/>
                </w:rPr>
                <w:t xml:space="preserve">Resumo para o corretor</w:t>
              </w:r>
            </w:hyperlink>
          </w:p>
        </w:tc>
      </w:tr>
      <w:tr>
        <w:tc>
          <w:tcPr>
            <w:tcW w:w="3120" w:type="dxa"/>
          </w:tcPr>
          <w:p>
            <w:pPr/>
            <w:r>
              <w:t xml:space="preserve">Site institucional com uma página por projeto</w:t>
            </w:r>
          </w:p>
        </w:tc>
        <w:tc>
          <w:tcPr>
            <w:tcW w:w="3120" w:type="dxa"/>
          </w:tcPr>
          <w:p>
            <w:pPr/>
            <w:r>
              <w:t xml:space="preserve">Destino de todos os links</w:t>
            </w:r>
          </w:p>
        </w:tc>
        <w:tc>
          <w:tcPr>
            <w:tcW w:w="3120" w:type="dxa"/>
          </w:tcPr>
          <w:p>
            <w:pPr/>
            <w:hyperlink r:id="rId7" w:history="1">
              <w:r>
                <w:rPr>
                  <w:rStyle w:val="Hyperlink"/>
                </w:rPr>
                <w:t xml:space="preserve">Site institucional</w:t>
              </w:r>
            </w:hyperlink>
          </w:p>
        </w:tc>
      </w:tr>
      <w:tr>
        <w:tc>
          <w:tcPr>
            <w:tcW w:w="3120" w:type="dxa"/>
          </w:tcPr>
          <w:p>
            <w:pPr/>
            <w:r>
              <w:t xml:space="preserve">Sumário Executivo</w:t>
            </w:r>
          </w:p>
        </w:tc>
        <w:tc>
          <w:tcPr>
            <w:tcW w:w="3120" w:type="dxa"/>
          </w:tcPr>
          <w:p>
            <w:pPr/>
            <w:r>
              <w:t xml:space="preserve">Apresentações em associações e reuniões</w:t>
            </w:r>
          </w:p>
        </w:tc>
        <w:tc>
          <w:tcPr>
            <w:tcW w:w="3120" w:type="dxa"/>
          </w:tcPr>
          <w:p>
            <w:pPr/>
            <w:hyperlink r:id="rId8" w:history="1">
              <w:r>
                <w:rPr>
                  <w:rStyle w:val="Hyperlink"/>
                </w:rPr>
                <w:t xml:space="preserve">Sumário Executivo</w:t>
              </w:r>
            </w:hyperlink>
          </w:p>
        </w:tc>
      </w:tr>
    </w:tbl>
    <w:p>
      <w:pPr/>
      <w:r>
        <w:t xml:space="preserve">Faltam, e posso preparar na sequência: resumo de uma página do BPO Digital para consultores, kit do ponto de venda por projeto, texto dos anúncios para portais de representação, roteiro dos três vídeos e os cards do Instagram.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yperlink" Target="index.html" TargetMode="External"/><Relationship Id="rId4" Type="http://schemas.openxmlformats.org/officeDocument/2006/relationships/hyperlink" Target="Segmenta&#231;&#227;o LinkedIn - Corretores de C&#226;mbio.docx" TargetMode="External"/><Relationship Id="rId5" Type="http://schemas.openxmlformats.org/officeDocument/2006/relationships/hyperlink" Target="Capta&#231;&#227;o de Corretores - LinkedIn.docx" TargetMode="External"/><Relationship Id="rId6" Type="http://schemas.openxmlformats.org/officeDocument/2006/relationships/hyperlink" Target="Resumo da Opera&#231;&#227;o de C&#226;mbio para Parceiros.docx" TargetMode="External"/><Relationship Id="rId7" Type="http://schemas.openxmlformats.org/officeDocument/2006/relationships/hyperlink" Target="../site-institucional/index.html" TargetMode="External"/><Relationship Id="rId8" Type="http://schemas.openxmlformats.org/officeDocument/2006/relationships/hyperlink" Target="../sumario-executivo/index.html" TargetMode="Externa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Estratégia de Captação de Vendedores</dc:title>
  <dc:description>Claude Docs node/20e7c099-26cd@7 docx-w6</dc:description>
  <cp:revision>7</cp:revision>
</cp:coreProperties>
</file>